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24F6CFFE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4233AF" w:rsidRPr="004233AF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w obrębie stacji Kiełczygłów 2 nr 7-0020 gm. Kiełczygłów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</w:rPr>
        <w:t>4x70 mm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E877980" w14:textId="7466C542" w:rsidR="008D61F2" w:rsidRPr="001172DA" w:rsidRDefault="008D61F2" w:rsidP="008D61F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Montaż i wydzielenie drugi</w:t>
      </w:r>
      <w:r>
        <w:rPr>
          <w:rFonts w:ascii="Verdana" w:hAnsi="Verdana" w:cs="Calibri"/>
          <w:color w:val="FF0000"/>
          <w:sz w:val="18"/>
          <w:szCs w:val="18"/>
        </w:rPr>
        <w:t>ch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tor</w:t>
      </w:r>
      <w:r>
        <w:rPr>
          <w:rFonts w:ascii="Verdana" w:hAnsi="Verdana" w:cs="Calibri"/>
          <w:color w:val="FF0000"/>
          <w:sz w:val="18"/>
          <w:szCs w:val="18"/>
        </w:rPr>
        <w:t>ów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linii napowietrznej nn w celu podziału istniejąc</w:t>
      </w:r>
      <w:r>
        <w:rPr>
          <w:rFonts w:ascii="Verdana" w:hAnsi="Verdana" w:cs="Calibri"/>
          <w:color w:val="FF0000"/>
          <w:sz w:val="18"/>
          <w:szCs w:val="18"/>
        </w:rPr>
        <w:t>ych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obwod</w:t>
      </w:r>
      <w:r>
        <w:rPr>
          <w:rFonts w:ascii="Verdana" w:hAnsi="Verdana" w:cs="Calibri"/>
          <w:color w:val="FF0000"/>
          <w:sz w:val="18"/>
          <w:szCs w:val="18"/>
        </w:rPr>
        <w:t>ów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na dwa oddzielne. Drug</w:t>
      </w:r>
      <w:r>
        <w:rPr>
          <w:rFonts w:ascii="Verdana" w:hAnsi="Verdana" w:cs="Calibri"/>
          <w:color w:val="FF0000"/>
          <w:sz w:val="18"/>
          <w:szCs w:val="18"/>
        </w:rPr>
        <w:t>ie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obw</w:t>
      </w:r>
      <w:r>
        <w:rPr>
          <w:rFonts w:ascii="Verdana" w:hAnsi="Verdana" w:cs="Calibri"/>
          <w:color w:val="FF0000"/>
          <w:sz w:val="18"/>
          <w:szCs w:val="18"/>
        </w:rPr>
        <w:t>ody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od stacji SN/nn zgodnie z załącznikiem nr 1.4</w:t>
      </w:r>
    </w:p>
    <w:p w14:paraId="7E4CEF2D" w14:textId="77777777" w:rsidR="008D61F2" w:rsidRPr="001172DA" w:rsidRDefault="008D61F2" w:rsidP="008D61F2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68808838" w14:textId="77777777" w:rsidR="008D61F2" w:rsidRPr="001172DA" w:rsidRDefault="008D61F2" w:rsidP="008D61F2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Dla nowo wydzielonych obwodów należy sporządzić zestawienie odbiorców i przekazać wraz z dokumentacją powykonawczą do odbioru. </w:t>
      </w:r>
    </w:p>
    <w:p w14:paraId="59E38616" w14:textId="77777777" w:rsidR="008D61F2" w:rsidRPr="00D55F80" w:rsidRDefault="008D61F2" w:rsidP="008D61F2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lastRenderedPageBreak/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4C5A011E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4233AF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233A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69C645F8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r w:rsidR="00640700">
        <w:rPr>
          <w:rFonts w:ascii="Verdana" w:hAnsi="Verdana"/>
          <w:bCs/>
          <w:sz w:val="18"/>
          <w:szCs w:val="18"/>
          <w:lang w:eastAsia="x-none"/>
        </w:rPr>
        <w:t xml:space="preserve"> 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91057" w14:textId="77777777" w:rsidR="007703B1" w:rsidRDefault="007703B1">
      <w:r>
        <w:separator/>
      </w:r>
    </w:p>
  </w:endnote>
  <w:endnote w:type="continuationSeparator" w:id="0">
    <w:p w14:paraId="65F601CC" w14:textId="77777777" w:rsidR="007703B1" w:rsidRDefault="0077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51D6" w14:textId="77777777" w:rsidR="004F5FA7" w:rsidRDefault="004F5F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6500" w14:textId="77777777" w:rsidR="004F5FA7" w:rsidRDefault="004F5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C4CA" w14:textId="77777777" w:rsidR="007703B1" w:rsidRDefault="007703B1">
      <w:r>
        <w:separator/>
      </w:r>
    </w:p>
  </w:footnote>
  <w:footnote w:type="continuationSeparator" w:id="0">
    <w:p w14:paraId="0E11FCB7" w14:textId="77777777" w:rsidR="007703B1" w:rsidRDefault="0077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C56A" w14:textId="77777777" w:rsidR="004F5FA7" w:rsidRDefault="004F5F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67263A2" w14:textId="77777777" w:rsidR="004F5FA7" w:rsidRPr="004F5FA7" w:rsidRDefault="004F5FA7" w:rsidP="004F5FA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2D652A46" w:rsidR="00D55F80" w:rsidRPr="006B2C28" w:rsidRDefault="004F5FA7" w:rsidP="004F5FA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F5FA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19AB" w14:textId="77777777" w:rsidR="004F5FA7" w:rsidRDefault="004F5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3B44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33AF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5FA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00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890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03B1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D61F2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3E7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A7168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2D50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58EC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0728"/>
    <w:rsid w:val="00E31049"/>
    <w:rsid w:val="00E3227C"/>
    <w:rsid w:val="00E32DD4"/>
    <w:rsid w:val="00E34EC2"/>
    <w:rsid w:val="00E357A5"/>
    <w:rsid w:val="00E36E0C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3FA1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916"/>
    <w:rsid w:val="00F85244"/>
    <w:rsid w:val="00F86DFF"/>
    <w:rsid w:val="00F86E0F"/>
    <w:rsid w:val="00F87789"/>
    <w:rsid w:val="00F907AD"/>
    <w:rsid w:val="00F90F50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część 5.docx</dmsv2BaseFileName>
    <dmsv2BaseDisplayName xmlns="http://schemas.microsoft.com/sharepoint/v3">Załącznik nr 1.3 do SWZ - część 5</dmsv2BaseDisplayName>
    <dmsv2SWPP2ObjectNumber xmlns="http://schemas.microsoft.com/sharepoint/v3">POST/DYS/OLD/GZ/04587/2025                        </dmsv2SWPP2ObjectNumber>
    <dmsv2SWPP2SumMD5 xmlns="http://schemas.microsoft.com/sharepoint/v3">94800f97dd5d615a15900316add7fe33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24028091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JEUP5JKVCYQC-1133723987-26225</_dlc_DocId>
    <_dlc_DocIdUrl xmlns="a19cb1c7-c5c7-46d4-85ae-d83685407bba">
      <Url>https://swpp2.dms.gkpge.pl/sites/41/_layouts/15/DocIdRedir.aspx?ID=JEUP5JKVCYQC-1133723987-26225</Url>
      <Description>JEUP5JKVCYQC-1133723987-26225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526BD03-AFCB-449E-8D7F-1575238FD2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1624</Words>
  <Characters>11345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16</cp:revision>
  <cp:lastPrinted>2011-10-20T15:55:00Z</cp:lastPrinted>
  <dcterms:created xsi:type="dcterms:W3CDTF">2025-10-28T08:54:00Z</dcterms:created>
  <dcterms:modified xsi:type="dcterms:W3CDTF">2025-12-18T16:05:00Z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c69ea621-0a10-4191-9292-8b1e19346d0f</vt:lpwstr>
  </property>
</Properties>
</file>